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right="2096"/>
      </w:pPr>
    </w:p>
    <w:p>
      <w:pPr>
        <w:ind w:right="2096"/>
        <w:jc w:val="right"/>
        <w:rPr>
          <w:rFonts w:ascii="Century Schoolbook" w:eastAsia="Times New Roman" w:hAnsi="Century Schoolbook" w:cs="Calibri"/>
          <w:sz w:val="20"/>
          <w:szCs w:val="20"/>
          <w:lang w:eastAsia="ru-RU"/>
        </w:rPr>
      </w:pPr>
      <w:r>
        <w:rPr>
          <w:rFonts w:ascii="Century Schoolbook" w:eastAsia="Times New Roman" w:hAnsi="Century Schoolbook" w:cs="Calibri"/>
          <w:sz w:val="20"/>
          <w:szCs w:val="20"/>
          <w:lang w:eastAsia="ru-RU"/>
        </w:rPr>
        <w:t>Форма N 2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Форма раскрытия информации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об основных показателях финансово-хозяйственной деятельности субъектов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>естественных монополий в сфере выполнения (оказания) регулируемых работ (услуг)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 xml:space="preserve"> в морских портах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Факт за 2018 г.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>
      <w:pPr>
        <w:spacing w:after="0"/>
        <w:ind w:right="4364"/>
        <w:jc w:val="right"/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  <w:t>АО «Восточный Порт»</w:t>
      </w:r>
    </w:p>
    <w:p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(наименование предприятия)</w:t>
      </w:r>
    </w:p>
    <w:p>
      <w:pPr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I. Производственные показатели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3433"/>
      </w:tblGrid>
      <w:tr>
        <w:trPr>
          <w:trHeight w:val="285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>
        <w:trPr>
          <w:trHeight w:val="300"/>
        </w:trPr>
        <w:tc>
          <w:tcPr>
            <w:tcW w:w="5916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>
        <w:trPr>
          <w:trHeight w:val="300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Перегружено грузов (в тыс. физ-тонн)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24 25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9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,9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 т.ч. Основная погрузка и выгрузка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24 25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val="en-US" w:eastAsia="ru-RU"/>
              </w:rPr>
              <w:t>9</w:t>
            </w: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,9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>
        <w:trPr>
          <w:trHeight w:val="300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Количество судозаходов (ед.)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1 025</w:t>
            </w:r>
          </w:p>
        </w:tc>
      </w:tr>
    </w:tbl>
    <w:p>
      <w:pPr>
        <w:spacing w:after="0"/>
      </w:pP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II. Доходы и расходы по отчету</w:t>
      </w:r>
    </w:p>
    <w:p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(в тыс. руб.)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1912"/>
        <w:gridCol w:w="1521"/>
      </w:tblGrid>
      <w:tr>
        <w:trPr>
          <w:trHeight w:val="285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>
        <w:trPr>
          <w:trHeight w:val="300"/>
        </w:trPr>
        <w:tc>
          <w:tcPr>
            <w:tcW w:w="5916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510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lastRenderedPageBreak/>
              <w:t>1.3 Обслуживание судов на железнодорожно-паромных переправах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1.6.3.1 Внепортовая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1.6.5.1 в т.ч. СУДС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>
        <w:trPr>
          <w:trHeight w:val="28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57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  <w:t>15 964 738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sz w:val="20"/>
                <w:szCs w:val="20"/>
                <w:lang w:eastAsia="ru-RU"/>
              </w:rPr>
              <w:t>5 824 618</w:t>
            </w:r>
          </w:p>
        </w:tc>
      </w:tr>
      <w:tr>
        <w:trPr>
          <w:trHeight w:val="525"/>
        </w:trPr>
        <w:tc>
          <w:tcPr>
            <w:tcW w:w="5916" w:type="dxa"/>
            <w:shd w:val="clear" w:color="auto" w:fill="auto"/>
            <w:vAlign w:val="bottom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2 052 026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2 305 743</w:t>
            </w:r>
          </w:p>
        </w:tc>
      </w:tr>
      <w:tr>
        <w:trPr>
          <w:trHeight w:val="372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18 016 764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8 130 361</w:t>
            </w:r>
          </w:p>
        </w:tc>
      </w:tr>
      <w:tr>
        <w:trPr>
          <w:trHeight w:val="372"/>
        </w:trPr>
        <w:tc>
          <w:tcPr>
            <w:tcW w:w="591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433" w:type="dxa"/>
            <w:gridSpan w:val="2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9 </w:t>
            </w: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20"/>
                <w:szCs w:val="20"/>
                <w:lang w:eastAsia="ru-RU"/>
              </w:rPr>
              <w:t>886 403</w:t>
            </w:r>
          </w:p>
        </w:tc>
      </w:tr>
    </w:tbl>
    <w:p>
      <w:pPr>
        <w:spacing w:after="0"/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Примечание:</w:t>
      </w:r>
    </w:p>
    <w:p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равна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"Выручка" Отчета о прибылях и убытках бухгалтерской отчетности предприятия.</w:t>
      </w:r>
    </w:p>
    <w:p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равна сумме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"Себестоимость продаж"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"Коммерческие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"Управленческие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>.</w:t>
      </w:r>
    </w:p>
    <w:p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"Доходы от участия в других организациях"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получению"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доходы"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уплате"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Финансовый результат 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060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равен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"Прибыль (убыток) до налогообложения" Отчета о прибылях и убытках бухгалтерской отчетности предприятия.</w:t>
      </w:r>
    </w:p>
    <w:p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lastRenderedPageBreak/>
        <w:t>III. Расшифровка расходов</w:t>
      </w:r>
    </w:p>
    <w:p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0"/>
        <w:gridCol w:w="992"/>
        <w:gridCol w:w="1276"/>
        <w:gridCol w:w="1418"/>
        <w:gridCol w:w="1275"/>
        <w:gridCol w:w="1135"/>
        <w:gridCol w:w="1276"/>
        <w:gridCol w:w="1276"/>
        <w:gridCol w:w="1417"/>
        <w:gridCol w:w="993"/>
        <w:gridCol w:w="1134"/>
        <w:gridCol w:w="992"/>
      </w:tblGrid>
      <w:tr>
        <w:trPr>
          <w:trHeight w:val="28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2192" w:type="dxa"/>
            <w:gridSpan w:val="10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в том числе по статьям затрат</w:t>
            </w:r>
          </w:p>
        </w:tc>
      </w:tr>
      <w:tr>
        <w:trPr>
          <w:trHeight w:val="1643"/>
        </w:trPr>
        <w:tc>
          <w:tcPr>
            <w:tcW w:w="1701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отчисления на соц. нужды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 по обычным видам деятельности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проценты к уплате по кредитам и займам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</w:tr>
      <w:tr>
        <w:trPr>
          <w:trHeight w:val="300"/>
        </w:trPr>
        <w:tc>
          <w:tcPr>
            <w:tcW w:w="1701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0" w:name="RANGE!A5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 Регулируемые виды деятельности</w:t>
            </w:r>
            <w:bookmarkEnd w:id="0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1" w:name="RANGE!A6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1.1 Погрузка и выгрузка грузов (основная)</w:t>
            </w:r>
            <w:bookmarkEnd w:id="1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12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" w:name="RANGE!A7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1.2 Хранение грузов</w:t>
            </w:r>
            <w:bookmarkEnd w:id="2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855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3" w:name="RANGE!A8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1.3 Обслуживание судов на железнодорожно-паромных переправах</w:t>
            </w:r>
            <w:bookmarkEnd w:id="3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612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4" w:name="RANGE!A9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1.4 Услуги буксиров при швартовых операциях</w:t>
            </w:r>
            <w:bookmarkEnd w:id="4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5" w:name="RANGE!A10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1.5 Предоставление причалов</w:t>
            </w:r>
            <w:bookmarkEnd w:id="5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6" w:name="RANGE!A11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 Портовые сборы, в том числе:</w:t>
            </w:r>
            <w:bookmarkEnd w:id="6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7" w:name="RANGE!A12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1.6.1 Корабельный сбор</w:t>
            </w:r>
            <w:bookmarkEnd w:id="7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8" w:name="RANGE!A13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1.6.2 Канальный сбор</w:t>
            </w:r>
            <w:bookmarkEnd w:id="8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15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9" w:name="RANGE!A14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1.6.3 Лоцманский сбор</w:t>
            </w:r>
            <w:bookmarkEnd w:id="9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0263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570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10" w:name="RANGE!A24"/>
            <w:bookmarkStart w:id="11" w:name="RANGE!A22"/>
            <w:bookmarkStart w:id="12" w:name="RANGE!A21"/>
            <w:bookmarkStart w:id="13" w:name="RANGE!A20"/>
            <w:bookmarkStart w:id="14" w:name="RANGE!A19"/>
            <w:bookmarkStart w:id="15" w:name="RANGE!A18"/>
            <w:bookmarkStart w:id="16" w:name="RANGE!A17"/>
            <w:bookmarkStart w:id="17" w:name="RANGE!A16"/>
            <w:bookmarkStart w:id="18" w:name="RANGE!A15"/>
            <w:bookmarkStart w:id="19" w:name="RANGE!A25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1.8 Услуги ледокольного флота на СМП</w:t>
            </w:r>
            <w:bookmarkEnd w:id="19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60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0" w:name="RANGE!A26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lastRenderedPageBreak/>
              <w:t>Итого по портовому хозяйству</w:t>
            </w:r>
            <w:bookmarkEnd w:id="20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5 824 618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70C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1 558 965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1 790 627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507 117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642 713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1 325 196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>
        <w:trPr>
          <w:trHeight w:val="360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bookmarkStart w:id="21" w:name="RANGE!A27"/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Прочие доходы и расходы</w:t>
            </w:r>
            <w:bookmarkEnd w:id="21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2 305 743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16"/>
                <w:szCs w:val="16"/>
                <w:lang w:eastAsia="ru-RU"/>
              </w:rPr>
              <w:t>2 305 743</w:t>
            </w:r>
          </w:p>
        </w:tc>
      </w:tr>
      <w:tr>
        <w:trPr>
          <w:trHeight w:val="420"/>
        </w:trPr>
        <w:tc>
          <w:tcPr>
            <w:tcW w:w="1701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2" w:name="RANGE!A28"/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bookmarkEnd w:id="22"/>
          </w:p>
        </w:tc>
        <w:tc>
          <w:tcPr>
            <w:tcW w:w="850" w:type="dxa"/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8 130 361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1 558 965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1 790 627</w:t>
            </w:r>
          </w:p>
        </w:tc>
        <w:tc>
          <w:tcPr>
            <w:tcW w:w="113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507 117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642 713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1 325 196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b/>
                <w:bCs/>
                <w:color w:val="000000"/>
                <w:sz w:val="16"/>
                <w:szCs w:val="16"/>
                <w:lang w:eastAsia="ru-RU"/>
              </w:rPr>
              <w:t>2 305 743</w:t>
            </w:r>
            <w:bookmarkStart w:id="23" w:name="_GoBack"/>
            <w:bookmarkEnd w:id="23"/>
          </w:p>
        </w:tc>
      </w:tr>
    </w:tbl>
    <w:p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sectPr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5545C-581A-4836-A411-27B0262E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Сборцева Ксения Сергеевна</cp:lastModifiedBy>
  <cp:revision>8</cp:revision>
  <dcterms:created xsi:type="dcterms:W3CDTF">2017-04-17T10:03:00Z</dcterms:created>
  <dcterms:modified xsi:type="dcterms:W3CDTF">2019-04-03T04:20:00Z</dcterms:modified>
</cp:coreProperties>
</file>