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B9" w:rsidRDefault="00C177B9">
      <w:pPr>
        <w:ind w:right="2096"/>
      </w:pPr>
    </w:p>
    <w:p w:rsidR="00C177B9" w:rsidRDefault="002264AE">
      <w:pPr>
        <w:ind w:right="2096"/>
        <w:jc w:val="right"/>
        <w:rPr>
          <w:rFonts w:ascii="Century Schoolbook" w:eastAsia="Times New Roman" w:hAnsi="Century Schoolbook" w:cs="Calibri"/>
          <w:sz w:val="20"/>
          <w:szCs w:val="20"/>
          <w:lang w:eastAsia="ru-RU"/>
        </w:rPr>
      </w:pPr>
      <w:r>
        <w:rPr>
          <w:rFonts w:ascii="Century Schoolbook" w:eastAsia="Times New Roman" w:hAnsi="Century Schoolbook" w:cs="Calibri"/>
          <w:sz w:val="20"/>
          <w:szCs w:val="20"/>
          <w:lang w:eastAsia="ru-RU"/>
        </w:rPr>
        <w:t>Форма N 2</w:t>
      </w: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Форма раскрытия информации</w:t>
      </w: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об основных показателях финансово-хозяйственной деятельности субъектов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>естественных монополий в сфере выполнения (оказания) регулируемых работ (услуг)</w:t>
      </w:r>
      <w:r>
        <w:rPr>
          <w:rFonts w:ascii="Century Schoolbook" w:eastAsia="Times New Roman" w:hAnsi="Century Schoolbook" w:cs="Calibri"/>
          <w:b/>
          <w:bCs/>
          <w:lang w:eastAsia="ru-RU"/>
        </w:rPr>
        <w:br/>
        <w:t xml:space="preserve"> в морских портах</w:t>
      </w:r>
    </w:p>
    <w:p w:rsidR="00C177B9" w:rsidRDefault="006D0DB6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Прогноз</w:t>
      </w:r>
      <w:r w:rsidR="002264AE">
        <w:rPr>
          <w:rFonts w:ascii="Century Schoolbook" w:eastAsia="Times New Roman" w:hAnsi="Century Schoolbook" w:cs="Calibri"/>
          <w:b/>
          <w:bCs/>
          <w:lang w:eastAsia="ru-RU"/>
        </w:rPr>
        <w:t xml:space="preserve"> </w:t>
      </w:r>
      <w:r>
        <w:rPr>
          <w:rFonts w:ascii="Century Schoolbook" w:eastAsia="Times New Roman" w:hAnsi="Century Schoolbook" w:cs="Calibri"/>
          <w:b/>
          <w:bCs/>
          <w:lang w:eastAsia="ru-RU"/>
        </w:rPr>
        <w:t>на 2021</w:t>
      </w:r>
      <w:r w:rsidR="002264AE">
        <w:rPr>
          <w:rFonts w:ascii="Century Schoolbook" w:eastAsia="Times New Roman" w:hAnsi="Century Schoolbook" w:cs="Calibri"/>
          <w:b/>
          <w:bCs/>
          <w:lang w:eastAsia="ru-RU"/>
        </w:rPr>
        <w:t xml:space="preserve"> г.</w:t>
      </w:r>
    </w:p>
    <w:p w:rsidR="00C177B9" w:rsidRDefault="00C177B9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C177B9" w:rsidRDefault="002264AE">
      <w:pPr>
        <w:spacing w:after="0"/>
        <w:ind w:right="2237"/>
        <w:jc w:val="right"/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</w:pPr>
      <w:r>
        <w:rPr>
          <w:rFonts w:ascii="Century Schoolbook" w:eastAsia="Times New Roman" w:hAnsi="Century Schoolbook" w:cs="Calibri"/>
          <w:b/>
          <w:bCs/>
          <w:color w:val="000000"/>
          <w:sz w:val="20"/>
          <w:szCs w:val="20"/>
          <w:u w:val="single"/>
          <w:lang w:eastAsia="ru-RU"/>
        </w:rPr>
        <w:t xml:space="preserve"> АО «Восточный Порт»</w:t>
      </w:r>
    </w:p>
    <w:p w:rsidR="00C177B9" w:rsidRDefault="002264AE">
      <w:pPr>
        <w:spacing w:after="0"/>
        <w:ind w:right="2237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(наименование предприятия)</w:t>
      </w:r>
    </w:p>
    <w:p w:rsidR="00C177B9" w:rsidRDefault="00C177B9" w:rsidP="00F51C9D">
      <w:pPr>
        <w:tabs>
          <w:tab w:val="left" w:pos="10206"/>
        </w:tabs>
        <w:spacing w:after="0"/>
        <w:ind w:right="4364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I. Производственные показатели</w:t>
      </w:r>
    </w:p>
    <w:p w:rsidR="00C177B9" w:rsidRDefault="00C177B9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6"/>
        <w:gridCol w:w="857"/>
        <w:gridCol w:w="3433"/>
      </w:tblGrid>
      <w:tr w:rsidR="00C177B9">
        <w:trPr>
          <w:trHeight w:val="285"/>
          <w:jc w:val="center"/>
        </w:trPr>
        <w:tc>
          <w:tcPr>
            <w:tcW w:w="5916" w:type="dxa"/>
            <w:vMerge w:val="restart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bookmarkStart w:id="0" w:name="_GoBack" w:colFirst="3" w:colLast="3"/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 xml:space="preserve"> № строки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По отчету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vMerge/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7" w:type="dxa"/>
            <w:vMerge/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Перегружено грузов (в тыс.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физ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-тонн)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26 7</w:t>
            </w:r>
            <w:r w:rsidR="002264AE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00,0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. Основная погрузка и выгрузка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011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26 7</w:t>
            </w:r>
            <w:r w:rsidR="002264AE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00,0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погрузка и выгрузка на паромной переправе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012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C177B9">
        <w:trPr>
          <w:trHeight w:val="285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Валовая вместимость судов (в тыс. GT)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3433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-</w:t>
            </w:r>
          </w:p>
        </w:tc>
      </w:tr>
      <w:tr w:rsidR="00C177B9">
        <w:trPr>
          <w:trHeight w:val="300"/>
          <w:jc w:val="center"/>
        </w:trPr>
        <w:tc>
          <w:tcPr>
            <w:tcW w:w="5916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Количество судозаходов (ед.)</w:t>
            </w:r>
          </w:p>
        </w:tc>
        <w:tc>
          <w:tcPr>
            <w:tcW w:w="857" w:type="dxa"/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color w:val="000000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3433" w:type="dxa"/>
            <w:shd w:val="clear" w:color="auto" w:fill="auto"/>
            <w:vAlign w:val="bottom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1 02</w:t>
            </w:r>
            <w:r w:rsidR="002264AE">
              <w:rPr>
                <w:rFonts w:ascii="Century Schoolbook" w:eastAsia="Times New Roman" w:hAnsi="Century Schoolbook" w:cs="Calibri"/>
                <w:sz w:val="20"/>
                <w:szCs w:val="20"/>
                <w:lang w:eastAsia="ru-RU"/>
              </w:rPr>
              <w:t>6</w:t>
            </w:r>
          </w:p>
        </w:tc>
      </w:tr>
      <w:bookmarkEnd w:id="0"/>
    </w:tbl>
    <w:p w:rsidR="00C177B9" w:rsidRDefault="00C177B9">
      <w:pPr>
        <w:spacing w:after="0"/>
      </w:pPr>
    </w:p>
    <w:p w:rsidR="00C177B9" w:rsidRDefault="002264AE">
      <w:pPr>
        <w:spacing w:after="0"/>
        <w:jc w:val="center"/>
        <w:rPr>
          <w:rFonts w:ascii="Century Schoolbook" w:eastAsia="Times New Roman" w:hAnsi="Century Schoolbook" w:cs="Calibri"/>
          <w:b/>
          <w:bCs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II. Доходы и расходы по отчету</w:t>
      </w:r>
    </w:p>
    <w:p w:rsidR="00C177B9" w:rsidRDefault="00C177B9" w:rsidP="00F51C9D">
      <w:pPr>
        <w:spacing w:after="0"/>
        <w:jc w:val="right"/>
        <w:rPr>
          <w:rFonts w:ascii="Century Schoolbook" w:eastAsia="Times New Roman" w:hAnsi="Century Schoolbook" w:cs="Calibri"/>
          <w:b/>
          <w:bCs/>
          <w:lang w:eastAsia="ru-RU"/>
        </w:rPr>
      </w:pPr>
    </w:p>
    <w:p w:rsidR="00F51C9D" w:rsidRDefault="00F51C9D" w:rsidP="00F51C9D">
      <w:pPr>
        <w:spacing w:after="0"/>
        <w:ind w:right="1588" w:firstLine="709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2264AE"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  <w:t>(в тыс. руб.)</w:t>
      </w:r>
    </w:p>
    <w:tbl>
      <w:tblPr>
        <w:tblW w:w="10460" w:type="dxa"/>
        <w:jc w:val="center"/>
        <w:tblLook w:val="04A0" w:firstRow="1" w:lastRow="0" w:firstColumn="1" w:lastColumn="0" w:noHBand="0" w:noVBand="1"/>
      </w:tblPr>
      <w:tblGrid>
        <w:gridCol w:w="5862"/>
        <w:gridCol w:w="857"/>
        <w:gridCol w:w="1870"/>
        <w:gridCol w:w="1871"/>
      </w:tblGrid>
      <w:tr w:rsidR="00C177B9">
        <w:trPr>
          <w:trHeight w:val="300"/>
          <w:jc w:val="center"/>
        </w:trPr>
        <w:tc>
          <w:tcPr>
            <w:tcW w:w="5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</w:tr>
      <w:tr w:rsidR="00C177B9" w:rsidTr="001964CD">
        <w:trPr>
          <w:trHeight w:val="323"/>
          <w:jc w:val="center"/>
        </w:trPr>
        <w:tc>
          <w:tcPr>
            <w:tcW w:w="59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1. Регулируемые виды деятельности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1.1 Погрузка и выгрузка грузов (основная)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1.2 Хранение грузов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52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lastRenderedPageBreak/>
              <w:t>1.3 Обслу</w:t>
            </w:r>
            <w:r w:rsidR="006D0DB6"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живание судов на железнодорожно-</w:t>
            </w: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паромных переправах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 w:rsidTr="001964CD">
        <w:trPr>
          <w:trHeight w:val="315"/>
          <w:jc w:val="center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1.4 Услуги буксиров при швартовых операциях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1.5 Предоставление причалов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 Портовые сборы, в том числе: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1.6.1 Корабельный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1.6.2 Канальный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 Лоцманский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1.6.3.1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Внепортовая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1.6.3.2 Внутрипортовая проводка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02632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1.6.4 Маячный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1.6.5 Навигационный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 xml:space="preserve">1.6.5.1 в </w:t>
            </w:r>
            <w:proofErr w:type="spellStart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. СУДС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02651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 Ледокольный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1.6.6.1 Зимняя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02661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1.6.6.2 Летняя навигация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02662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1.6.7 Экологический сбор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0267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1.7 Обслуживание пассажиров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027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1.8 Услуги ледокольного флота на СМП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028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77B9">
        <w:trPr>
          <w:trHeight w:val="315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по портовому хозяйству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sz w:val="20"/>
                <w:szCs w:val="20"/>
                <w:lang w:eastAsia="ru-RU"/>
              </w:rPr>
              <w:t>16 587 013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10 004 504</w:t>
            </w:r>
          </w:p>
        </w:tc>
      </w:tr>
      <w:tr w:rsidR="00C177B9">
        <w:trPr>
          <w:trHeight w:val="540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Непланируемые доходы и расходы (операционные и внереализационные)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248 272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20"/>
                <w:szCs w:val="20"/>
                <w:lang w:eastAsia="ru-RU"/>
              </w:rPr>
              <w:t>358 540</w:t>
            </w:r>
          </w:p>
        </w:tc>
      </w:tr>
      <w:tr w:rsidR="00C177B9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16 835 285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10 363 044</w:t>
            </w:r>
          </w:p>
        </w:tc>
      </w:tr>
      <w:tr w:rsidR="00C177B9">
        <w:trPr>
          <w:trHeight w:val="383"/>
          <w:jc w:val="center"/>
        </w:trPr>
        <w:tc>
          <w:tcPr>
            <w:tcW w:w="59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Финансовый результат (прибыль+, убыток -)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060</w:t>
            </w:r>
          </w:p>
        </w:tc>
        <w:tc>
          <w:tcPr>
            <w:tcW w:w="3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6D0DB6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6 472 241</w:t>
            </w:r>
          </w:p>
        </w:tc>
      </w:tr>
    </w:tbl>
    <w:p w:rsidR="00C177B9" w:rsidRDefault="00C177B9">
      <w:pPr>
        <w:spacing w:after="0"/>
        <w:ind w:right="4366"/>
        <w:jc w:val="right"/>
        <w:rPr>
          <w:rFonts w:ascii="Century Schoolbook" w:eastAsia="Times New Roman" w:hAnsi="Century Schoolbook" w:cs="Calibri"/>
          <w:color w:val="000000"/>
          <w:sz w:val="16"/>
          <w:szCs w:val="16"/>
          <w:lang w:eastAsia="ru-RU"/>
        </w:rPr>
      </w:pPr>
    </w:p>
    <w:p w:rsidR="00C177B9" w:rsidRDefault="00C177B9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</w:p>
    <w:p w:rsidR="00C177B9" w:rsidRDefault="002264AE">
      <w:pPr>
        <w:spacing w:after="0"/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Примечание: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равна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"Выручка" Отчета о прибылях и убытках бухгалтерской отчетности предприятия.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Строка 030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равна сумме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"Себестоимость продаж"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"Коммерческие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"Управленческие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>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lastRenderedPageBreak/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(доходы)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"Доходы от участия в других организациях"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получению"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доходы"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C177B9" w:rsidRDefault="002264AE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040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(расходы) отражается сумма строк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"Проценты к уплате"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,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"Прочие расходы"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Отчета о прибылях и убытках бухгалтерской отчетности предприятия.</w:t>
      </w:r>
    </w:p>
    <w:p w:rsidR="00C177B9" w:rsidRDefault="002264AE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Финансовый результат по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 060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равен </w:t>
      </w:r>
      <w:r>
        <w:rPr>
          <w:rFonts w:ascii="Century Schoolbook" w:eastAsia="Times New Roman" w:hAnsi="Century Schoolbook" w:cs="Calibri"/>
          <w:b/>
          <w:bCs/>
          <w:sz w:val="18"/>
          <w:szCs w:val="18"/>
          <w:lang w:eastAsia="ru-RU"/>
        </w:rPr>
        <w:t>строке</w:t>
      </w:r>
      <w: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  <w:t xml:space="preserve"> "Прибыль (убыток) до налогообложения" Отчета о прибылях и убытках бухгалтерской отчетности предприятия.</w:t>
      </w:r>
    </w:p>
    <w:p w:rsidR="00C177B9" w:rsidRDefault="00C177B9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C177B9" w:rsidRDefault="00C177B9">
      <w:pPr>
        <w:spacing w:after="0" w:line="240" w:lineRule="auto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p w:rsidR="00C177B9" w:rsidRDefault="002264AE">
      <w:pPr>
        <w:spacing w:after="0" w:line="240" w:lineRule="auto"/>
        <w:jc w:val="center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  <w:r>
        <w:rPr>
          <w:rFonts w:ascii="Century Schoolbook" w:eastAsia="Times New Roman" w:hAnsi="Century Schoolbook" w:cs="Calibri"/>
          <w:b/>
          <w:bCs/>
          <w:lang w:eastAsia="ru-RU"/>
        </w:rPr>
        <w:t>III. Расшифровка расходов</w:t>
      </w:r>
    </w:p>
    <w:p w:rsidR="00C177B9" w:rsidRDefault="00C177B9">
      <w:pPr>
        <w:spacing w:after="0"/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tbl>
      <w:tblPr>
        <w:tblW w:w="15908" w:type="dxa"/>
        <w:jc w:val="center"/>
        <w:tblLook w:val="04A0" w:firstRow="1" w:lastRow="0" w:firstColumn="1" w:lastColumn="0" w:noHBand="0" w:noVBand="1"/>
      </w:tblPr>
      <w:tblGrid>
        <w:gridCol w:w="2008"/>
        <w:gridCol w:w="729"/>
        <w:gridCol w:w="1083"/>
        <w:gridCol w:w="1249"/>
        <w:gridCol w:w="1341"/>
        <w:gridCol w:w="1032"/>
        <w:gridCol w:w="1106"/>
        <w:gridCol w:w="1223"/>
        <w:gridCol w:w="1249"/>
        <w:gridCol w:w="1417"/>
        <w:gridCol w:w="1032"/>
        <w:gridCol w:w="1277"/>
        <w:gridCol w:w="1162"/>
      </w:tblGrid>
      <w:tr w:rsidR="00C177B9" w:rsidTr="00516762">
        <w:trPr>
          <w:trHeight w:val="283"/>
          <w:jc w:val="center"/>
        </w:trPr>
        <w:tc>
          <w:tcPr>
            <w:tcW w:w="20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Наименование хозяйств, работ и операций</w:t>
            </w:r>
          </w:p>
        </w:tc>
        <w:tc>
          <w:tcPr>
            <w:tcW w:w="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№ строки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 всего</w:t>
            </w:r>
          </w:p>
        </w:tc>
        <w:tc>
          <w:tcPr>
            <w:tcW w:w="1197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в том числе по статьям затрат</w:t>
            </w:r>
          </w:p>
        </w:tc>
      </w:tr>
      <w:tr w:rsidR="00C177B9" w:rsidTr="00516762">
        <w:trPr>
          <w:trHeight w:val="1589"/>
          <w:jc w:val="center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Расходы, связанные с участием в совместной деятельности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материальные затраты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затраты на оплату труда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отчисления на соц. нужды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 по обычным видам деятельности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операционные расходы, связанные с оплатой услуг, оказываемых кредитными организациями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проценты к уплате по кредитам и займам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налоги и иные обязательные платежи и сборы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расходы</w:t>
            </w:r>
          </w:p>
        </w:tc>
      </w:tr>
      <w:tr w:rsidR="00C177B9" w:rsidTr="00516762">
        <w:trPr>
          <w:trHeight w:val="297"/>
          <w:jc w:val="center"/>
        </w:trPr>
        <w:tc>
          <w:tcPr>
            <w:tcW w:w="20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77B9" w:rsidRDefault="00C177B9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</w:tr>
      <w:tr w:rsidR="00C177B9" w:rsidTr="00516762">
        <w:trPr>
          <w:trHeight w:val="567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" w:name="RANGE!A5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 Регулируемые виды деятельности</w:t>
            </w:r>
            <w:bookmarkEnd w:id="1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567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" w:name="RANGE!A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1.1 Погрузка и выгрузка грузов (основная)</w:t>
            </w:r>
            <w:bookmarkEnd w:id="2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319"/>
          <w:jc w:val="center"/>
        </w:trPr>
        <w:tc>
          <w:tcPr>
            <w:tcW w:w="20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3" w:name="RANGE!A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1.2 Хранение грузов</w:t>
            </w:r>
            <w:bookmarkEnd w:id="3"/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66CC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851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4" w:name="RANGE!A8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1.3 Обслуживание судов на железнодорожно-паромных переправах</w:t>
            </w:r>
            <w:bookmarkEnd w:id="4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56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5" w:name="RANGE!A9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1.4 Услуги буксиров при швартовых операциях</w:t>
            </w:r>
            <w:bookmarkEnd w:id="5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29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6" w:name="RANGE!A10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1.5 Предоставление причалов</w:t>
            </w:r>
            <w:bookmarkEnd w:id="6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56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7" w:name="RANGE!A11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 Портовые сборы, в том числе:</w:t>
            </w:r>
            <w:bookmarkEnd w:id="7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29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8" w:name="RANGE!A12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1.6.1 Корабельный сбор</w:t>
            </w:r>
            <w:bookmarkEnd w:id="8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29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9" w:name="RANGE!A13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1.6.2 Канальный сбор</w:t>
            </w:r>
            <w:bookmarkEnd w:id="9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29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0" w:name="RANGE!A14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1.6.3 Лоцманский сбор</w:t>
            </w:r>
            <w:bookmarkEnd w:id="10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0263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567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11" w:name="RANGE!A24"/>
            <w:bookmarkStart w:id="12" w:name="RANGE!A22"/>
            <w:bookmarkStart w:id="13" w:name="RANGE!A21"/>
            <w:bookmarkStart w:id="14" w:name="RANGE!A20"/>
            <w:bookmarkStart w:id="15" w:name="RANGE!A19"/>
            <w:bookmarkStart w:id="16" w:name="RANGE!A18"/>
            <w:bookmarkStart w:id="17" w:name="RANGE!A17"/>
            <w:bookmarkStart w:id="18" w:name="RANGE!A16"/>
            <w:bookmarkStart w:id="19" w:name="RANGE!A15"/>
            <w:bookmarkStart w:id="20" w:name="RANGE!A25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lastRenderedPageBreak/>
              <w:t>1.8 Услуги ледокольного флота на СМП</w:t>
            </w:r>
            <w:bookmarkEnd w:id="20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465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1" w:name="RANGE!A26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Итого по портовому хозяйству</w:t>
            </w:r>
            <w:bookmarkEnd w:id="21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10 004 504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70C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2 202 023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2 352 337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614 463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3 669 406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1 166 275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177B9" w:rsidTr="00516762">
        <w:trPr>
          <w:trHeight w:val="386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bookmarkStart w:id="22" w:name="RANGE!A27"/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Прочие доходы и расходы</w:t>
            </w:r>
            <w:bookmarkEnd w:id="22"/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358 540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358 540</w:t>
            </w:r>
          </w:p>
        </w:tc>
      </w:tr>
      <w:tr w:rsidR="00C177B9" w:rsidTr="00516762">
        <w:trPr>
          <w:trHeight w:val="443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23" w:name="RANGE!A28"/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bookmarkEnd w:id="23"/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10 363 044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2 202 023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sz w:val="16"/>
                <w:szCs w:val="16"/>
                <w:lang w:eastAsia="ru-RU"/>
              </w:rPr>
              <w:t>2 352 337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614 463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3 669 406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1 166 275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2264AE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7B9" w:rsidRDefault="0088183C">
            <w:pPr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entury Schoolbook" w:eastAsia="Times New Roman" w:hAnsi="Century Schoolbook" w:cs="Times New Roman"/>
                <w:b/>
                <w:bCs/>
                <w:color w:val="000000"/>
                <w:sz w:val="16"/>
                <w:szCs w:val="16"/>
                <w:lang w:eastAsia="ru-RU"/>
              </w:rPr>
              <w:t>358 540</w:t>
            </w:r>
          </w:p>
        </w:tc>
      </w:tr>
    </w:tbl>
    <w:p w:rsidR="00C177B9" w:rsidRDefault="00C177B9">
      <w:pPr>
        <w:rPr>
          <w:rFonts w:ascii="Century Schoolbook" w:eastAsia="Times New Roman" w:hAnsi="Century Schoolbook" w:cs="Calibri"/>
          <w:color w:val="000000"/>
          <w:sz w:val="18"/>
          <w:szCs w:val="18"/>
          <w:lang w:eastAsia="ru-RU"/>
        </w:rPr>
      </w:pPr>
    </w:p>
    <w:sectPr w:rsidR="00C177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7B9"/>
    <w:rsid w:val="001964CD"/>
    <w:rsid w:val="002264AE"/>
    <w:rsid w:val="00516762"/>
    <w:rsid w:val="006D0DB6"/>
    <w:rsid w:val="0088183C"/>
    <w:rsid w:val="00C177B9"/>
    <w:rsid w:val="00F5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7F20"/>
  <w15:docId w15:val="{141422EB-48C1-43E6-8918-9393CDE9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Викторовна Дарий</cp:lastModifiedBy>
  <cp:revision>10</cp:revision>
  <dcterms:created xsi:type="dcterms:W3CDTF">2017-04-17T10:03:00Z</dcterms:created>
  <dcterms:modified xsi:type="dcterms:W3CDTF">2020-10-14T01:16:00Z</dcterms:modified>
</cp:coreProperties>
</file>